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5398"/>
        <w:tblBorders>
          <w:top w:val="single" w:color="auto" w:sz="4"/>
          <w:left w:val="single" w:color="auto" w:sz="4"/>
          <w:bottom w:val="single" w:color="auto" w:sz="4"/>
          <w:right w:val="single" w:color="auto" w:sz="4"/>
          <w:insideH w:val="single" w:color="auto" w:sz="4"/>
          <w:insideV w:val="single" w:color="auto" w:sz="4"/>
        </w:tblBorders>
      </w:tblPr>
      <w:tblGrid>
        <w:gridCol w:w="7699"/>
        <w:gridCol w:w="7699"/>
      </w:tblGrid>
      <w:tr>
        <w:tc>
          <w:tcPr>
            <w:tcW w:type="dxa" w:w="7699"/>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English (source)</w:t>
            </w:r>
          </w:p>
        </w:tc>
        <w:tc>
          <w:tcPr>
            <w:tcW w:type="dxa" w:w="7699"/>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&lt;language&gt; (translation)</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1"/>
            </w:pPr>
            <w:r>
              <w:rPr>
                <w:b/>
                <w:bCs/>
              </w:rPr>
              <w:t xml:space="preserve">References ı Appendix ı Author ı Metadata</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ind w:left="360"/>
            </w:pPr>
            <w:r>
              <w:rPr>
                <w:b/>
                <w:bCs/>
              </w:rPr>
              <w:t xml:space="preserve">Source</w:t>
            </w:r>
            <w:r>
              <w:t xml:space="preserve">   Machajewski, Szymon. (2026). </w:t>
            </w:r>
            <w:r>
              <w:rPr>
                <w:i/>
                <w:iCs/>
              </w:rPr>
              <w:t xml:space="preserve">The Learn-It-All Educator — A Guidebook for Training Brains, Not Replacing Them with AI</w:t>
            </w:r>
            <w:r>
              <w:t xml:space="preserve">. Zenodo. https://doi.org/10.5281/ZENODO.18425283   Copyright © 2026 Szymon Machajewski · CC BY 4.0</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2"/>
            </w:pPr>
            <w:r>
              <w:rPr>
                <w:b/>
                <w:bCs/>
              </w:rPr>
              <w:t xml:space="preserve">References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Ardila, D., Kiraly, A. P., Bharadwaj, S., Choi, B., Reicher, J. J., Peng, L., Tse, D., Etemadi, M., Ye, W., Corrado, G., Naidich, D. P., &amp; Shetty, S. (2019). End-to-end lung cancer screening with three-dimensional deep learning on low-dose CT. Nature Medicine, 25, 954–961. https://doi.org/10.1038/s41591-019-0447-x</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Botelho, E. L., Powell, K. R., Kincaid, S., &amp; Wang, D. (2017, May). What sets successful CEOs apart. </w:t>
            </w:r>
            <w:r>
              <w:rPr>
                <w:i/>
                <w:iCs/>
              </w:rPr>
              <w:t xml:space="preserve">Harvard Business Review</w:t>
            </w:r>
            <w:r>
              <w:t xml:space="preserve">. https://hbr.org/2017/05/what-sets-successful-ceos-apart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Botelho, E. L., &amp; Powell, K. R. (2018). </w:t>
            </w:r>
            <w:r>
              <w:rPr>
                <w:i/>
                <w:iCs/>
              </w:rPr>
              <w:t xml:space="preserve">The CEO next door: The 4 behaviors that transform ordinary people into world-class leaders</w:t>
            </w:r>
            <w:r>
              <w:t xml:space="preserve">. Currency.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Chen, C., &amp; Cui, Z. (2025). Impact of AI-assisted diagnosis on American patients' trust in and intention to seek help from health care professionals: Randomized, web-based survey experiment. Journal of Medical Internet Research, 27, e66083. https://doi.org/10.2196/66083</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Every Learner Everywhere. (2020). Arizona State University: Scaling student success with adaptive courseware (Case study). https://www.everylearnereverywhere.org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Haynes, A. B., Weiser, T. G., Berry, W. R., Lipsitz, S. R., Breizat, A. H. S., Dellinger, E. P., Herbosa, T., Joseph, S., Kibatala, P. L., Lapitan, M. C. M., Merry, A. F., Moorthy, K., Reznick, R. K., Taylor, B., &amp; Gawande, A. A. (2009). A surgical safety checklist to reduce morbidity and mortality in a global population. New England Journal of Medicine, 360(5), 491-499. https://doi.org/10.1056/NEJMsa0810119</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Haynes, A. B., Edmondson, L., Lipsitz, S. R., Molina, G., Neville, B. A., Singer, S. J., Moonan, A. T., Childers, A. K., Foster, R., Gibbons, L. R., Gawande, A. A., &amp; Berry, W. R. (2017). Mortality trends after a voluntary checklist-based surgical safety collaborative. Annals of Surgery, 266(6), 923–929. https://doi.org/10.1097/SLA.0000000000002249</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Hölzel, B. K., Carmody, J., Vangel, M., Congleton, C., Yerramsetti, S. M., Gard, T., &amp; Lazar, S. W. (2011). Mindfulness practice leads to increases in regional brain gray matter density. Psychiatry Research: Neuroimaging, 191(1), 36–43. https://doi.org/10.1016/j.pscychresns.2010.08.006</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Kosmyna, N., Hauptmann, E., Yuan, Y. T., Situ, J., Liao, X. H., Beresnitzky, A. V., Braunstein, I., &amp; Maes, P. (2025). Your brain on ChatGPT: Accumulation of cognitive debt when using an AI assistant for essay writing task. </w:t>
            </w:r>
            <w:r>
              <w:rPr>
                <w:i/>
                <w:iCs/>
              </w:rPr>
              <w:t xml:space="preserve">arXiv preprint</w:t>
            </w:r>
            <w:r>
              <w:t xml:space="preserve"> arXiv:2506.08872. https://arxiv.org/abs/2506.08872</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Nadella, S. (2016, August 4). The learn-it-all does better than the know-it-all \[Interview\]. </w:t>
            </w:r>
            <w:r>
              <w:rPr>
                <w:i/>
                <w:iCs/>
              </w:rPr>
              <w:t xml:space="preserve">Bloomberg Businessweek</w:t>
            </w:r>
            <w:r>
              <w:t xml:space="preserve">. https://www.bloomberg.com/news/articles/2016-08-04/microsoft-ceo-satya-nadella-on-his-plans-for-a-comeback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1"/>
            </w:pPr>
            <w:r>
              <w:rPr>
                <w:b/>
                <w:bCs/>
              </w:rPr>
              <w:t xml:space="preserve">Appendix: Companion Worksheets for Learn-It-All Educator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Reading about teaching with AI is not the same as doing it. The four companion worksheets that accompany this guidebook translate each chapter's frameworks into hands-on, reflective activities designed for working instructors. They are built for pen-in-hand engagement: self-audits, task mapping, prompt construction, assignment redesign, identity interrogation, and concrete action planning.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Each worksheet follows a consistent structure. Every activity begins with a </w:t>
            </w:r>
            <w:r>
              <w:rPr>
                <w:b/>
                <w:bCs/>
              </w:rPr>
              <w:t xml:space="preserve">Concept</w:t>
            </w:r>
            <w:r>
              <w:t xml:space="preserve"> drawn from the chapter, followed by a </w:t>
            </w:r>
            <w:r>
              <w:rPr>
                <w:b/>
                <w:bCs/>
              </w:rPr>
              <w:t xml:space="preserve">Directed Task</w:t>
            </w:r>
            <w:r>
              <w:t xml:space="preserve"> tied to your specific course, discipline, and students, and closes with a </w:t>
            </w:r>
            <w:r>
              <w:rPr>
                <w:b/>
                <w:bCs/>
              </w:rPr>
              <w:t xml:space="preserve">Response Area</w:t>
            </w:r>
            <w:r>
              <w:t xml:space="preserve"> for written reflection. You do not need to complete every activity. Choose the ones most relevant to your current teaching context.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worksheets are designed for use in workshops, faculty learning communities, department retreats, or self-guided professional development. They work equally well completed alone at a desk or discussed collaboratively in a group. Several activities explicitly ask you to pair with a colleague from a different discipline—the cross-disciplinary comparisons are where the most productive disagreements tend to surface.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2"/>
            </w:pPr>
            <w:r>
              <w:rPr>
                <w:b/>
                <w:bCs/>
              </w:rPr>
              <w:t xml:space="preserve">How to Access the Worksheets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All four worksheets are available as free, downloadable PDFs under the same Creative Commons (CC BY 4.0) license as this guidebook: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[dataii.com/ai/guidebook/#worksheets](https://dataii.com/ai/guidebook/#worksheets) and also below each chapter in this book.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You may print them, project them in a workshop, annotate them digitally, or adapt them for your institutional context. Attribution is required; permission is not.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2"/>
            </w:pPr>
            <w:r>
              <w:rPr>
                <w:b/>
                <w:bCs/>
              </w:rPr>
              <w:t xml:space="preserve">What the Worksheets Ask You to Do</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Across the four worksheets, you will encounter over sixty activities. They cluster around several modes of critical engagement: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rPr>
                <w:b/>
                <w:bCs/>
              </w:rPr>
              <w:t xml:space="preserve">Classify and prioritize.</w:t>
            </w:r>
            <w:r>
              <w:t xml:space="preserve"> Distinguish between work worth delegating and work worth protecting. Map your time. Name the tasks. Decide what stays human.</w:t>
            </w:r>
          </w:p>
          <w:p>
            <w:pPr>
              <w:pStyle w:val="ListParagraph"/>
              <w:numPr>
                <w:ilvl w:val="0"/>
                <w:numId w:val="2"/>
              </w:numPr>
            </w:pPr>
            <w:r>
              <w:rPr>
                <w:b/>
                <w:bCs/>
              </w:rPr>
              <w:t xml:space="preserve">Build and test.</w:t>
            </w:r>
            <w:r>
              <w:t xml:space="preserve"> Construct real AI prompts, run them, evaluate the output, then redesign your own assignments using the same scaffolding principles.</w:t>
            </w:r>
          </w:p>
          <w:p>
            <w:pPr>
              <w:pStyle w:val="ListParagraph"/>
              <w:numPr>
                <w:ilvl w:val="0"/>
                <w:numId w:val="2"/>
              </w:numPr>
            </w:pPr>
            <w:r>
              <w:rPr>
                <w:b/>
                <w:bCs/>
              </w:rPr>
              <w:t xml:space="preserve">Audit and verify.</w:t>
            </w:r>
            <w:r>
              <w:t xml:space="preserve"> Practice a five-step verification protocol on AI-generated content. Develop the editorial eye that distinguishes plausible from accurate.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rPr>
                <w:b/>
                <w:bCs/>
              </w:rPr>
              <w:t xml:space="preserve">Reflect and confront.</w:t>
            </w:r>
            <w:r>
              <w:t xml:space="preserve"> Interrogate your own resistance. Label it honestly. Write a Permission to Learn letter. Document a learning transcript that captures the discomfort of being a beginner.</w:t>
            </w:r>
          </w:p>
          <w:p>
            <w:pPr>
              <w:pStyle w:val="ListParagraph"/>
              <w:numPr>
                <w:ilvl w:val="0"/>
                <w:numId w:val="2"/>
              </w:numPr>
            </w:pPr>
            <w:r>
              <w:rPr>
                <w:b/>
                <w:bCs/>
              </w:rPr>
              <w:t xml:space="preserve">Commit and act.</w:t>
            </w:r>
            <w:r>
              <w:t xml:space="preserve"> Every worksheet ends with a concrete action plan—specific, named, and schedulable commitments for the coming week or semester.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2"/>
            </w:pPr>
            <w:r>
              <w:rPr>
                <w:b/>
                <w:bCs/>
              </w:rPr>
              <w:t xml:space="preserve">A Note on Structure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worksheets are cumulative but not sequential. Worksheet 1 asks </w:t>
            </w:r>
            <w:r>
              <w:rPr>
                <w:i/>
                <w:iCs/>
              </w:rPr>
              <w:t xml:space="preserve">what</w:t>
            </w:r>
            <w:r>
              <w:t xml:space="preserve"> to delegate. Worksheet 2 asks </w:t>
            </w:r>
            <w:r>
              <w:rPr>
                <w:i/>
                <w:iCs/>
              </w:rPr>
              <w:t xml:space="preserve">how</w:t>
            </w:r>
            <w:r>
              <w:t xml:space="preserve"> to communicate with AI effectively. Worksheet 3 reverses the lens toward student learning and asks when AI should add friction rather than remove it. Worksheet 4 turns inward and asks </w:t>
            </w:r>
            <w:r>
              <w:rPr>
                <w:i/>
                <w:iCs/>
              </w:rPr>
              <w:t xml:space="preserve">who</w:t>
            </w:r>
            <w:r>
              <w:t xml:space="preserve"> you need to become to stay relevant.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You may work through them in order or begin with the chapter that addresses your most pressing concern. Every worksheet ends with an action plan that produces specific, schedulable commitments—not aspirational statements, but concrete next steps you can take this week.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frameworks in this guidebook are designed to be used, not merely understood. The worksheets are where the using happens.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Download all four worksheets at [dataii.com/ai/guidebook/#worksheets](https://dataii.com/ai/guidebook/#worksheets)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2026 Szymon Machajewski. Licensed under Creative Commons Attribution 4.0 International (CC BY 4.0).</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2"/>
            </w:pPr>
            <w:r>
              <w:rPr>
                <w:b/>
                <w:bCs/>
              </w:rPr>
              <w:t xml:space="preserve">About the Author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Dr. Szymon Machajewski is an award-winning educator, AI strategist, and national leader in academic innovation. He serves as Associate Director of Academic Technology and Learning Innovation at the University of Illinois Chicago, where he leads the Digital Learning Infrastructure supporting 34,000 students across diverse colleges. He also continues to teach as an Adjunct Professor and Faculty Fellow for Teaching with AI Technology at Lansing Community College. With over two decades of experience across community colleges, four-year universities, and enterprise systems teams, he specializes in large-scale governance, academic technology modernization, and learning analytics initiatives.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An early adopter of AI in education since 2013, Dr. Machajewski has pioneered work in natural language processing, student success analytics, and AI-enhanced pedagogy. He won the Amazon AI Hackathon for building an application that detects emotional distress in student writing and holds a U.S. patent in educational gamification focused on behavioral reinforcement. He also created the AI Instructional Framework Explorer, an interactive method and tool for evaluating when and how AI should participate in school environments through student and teacher simulations. The tool has reached over 1,000 educators across 21 institutions within its first two months.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His thought leadership appears in </w:t>
            </w:r>
            <w:r>
              <w:rPr>
                <w:i/>
                <w:iCs/>
              </w:rPr>
              <w:t xml:space="preserve">Inside Higher Ed</w:t>
            </w:r>
            <w:r>
              <w:t xml:space="preserve"> (including "How AI Is Exploding Our Illusions of Rigor"), </w:t>
            </w:r>
            <w:r>
              <w:rPr>
                <w:i/>
                <w:iCs/>
              </w:rPr>
              <w:t xml:space="preserve">EDUCAUSE Review</w:t>
            </w:r>
            <w:r>
              <w:t xml:space="preserve"> ("English 2.0: AI-Driven Language Transformation"), and </w:t>
            </w:r>
            <w:r>
              <w:rPr>
                <w:i/>
                <w:iCs/>
              </w:rPr>
              <w:t xml:space="preserve">EdTech Digest</w:t>
            </w:r>
            <w:r>
              <w:t xml:space="preserve"> ("The AI Revolution in Chess and Its Impact on Education: Unlocking the Joy of Learning with a Spirit of Play"), as well as in UNESCO publications on AI in teacher development. His chapter "AI-Powered Student Support and Advising" was published by Routledge in 2026. He has also delivered keynote presentations, including a TEDx talk on immersive feedback environments that accelerate student learning.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Dr. Machajewski's influence extends through leadership in national and global AI governance efforts. He serves on the EDSAFE AI Alliance Council and the AI Companions Task Force shaping future AI standards for education. He has also served as an expert for the </w:t>
            </w:r>
            <w:r>
              <w:rPr>
                <w:i/>
                <w:iCs/>
              </w:rPr>
              <w:t xml:space="preserve">EDUCAUSE Horizon</w:t>
            </w:r>
            <w:r>
              <w:t xml:space="preserve"> Generative AI Action Plan, the Horizon Data &amp; Analytics Edition, and the EDUCAUSE–AWS AI Readiness Assessment Panel.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His contributions have earned numerous honors, including the Catalyst Impact Award for AI Leadership, the UIC Award of Merit for data-informed student success strategies, the National Award for Leading Change, the Most Inclusive Classroom Award, and the Exemplary Course Design Award.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 certified Mental Health First Aid practitioner, Dr. Machajewski is committed to supporting equitable, human-centered learning environments where technology amplifies - rather than replaces - human judgment, creativity, and connection.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Dr. Machajewski is available for invited talks, workshops, and conference keynotes on AI in higher education, academic integrity in the age of AI, and instructional design for cognitive development. For speaking inquiries and supplementary materials related to this guidebook, visit dataii.com/ai/guidebook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2"/>
            </w:pPr>
            <w:r>
              <w:rPr>
                <w:b/>
                <w:bCs/>
              </w:rPr>
              <w:t xml:space="preserve">Publication Metadata</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Keywords: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Higher education</w:t>
            </w:r>
          </w:p>
          <w:p>
            <w:pPr>
              <w:pStyle w:val="ListParagraph"/>
              <w:numPr>
                <w:ilvl w:val="0"/>
                <w:numId w:val="2"/>
              </w:numPr>
            </w:pPr>
            <w:r>
              <w:t xml:space="preserve">Artificial intelligence</w:t>
            </w:r>
          </w:p>
          <w:p>
            <w:pPr>
              <w:pStyle w:val="ListParagraph"/>
              <w:numPr>
                <w:ilvl w:val="0"/>
                <w:numId w:val="2"/>
              </w:numPr>
            </w:pPr>
            <w:r>
              <w:t xml:space="preserve">Pedagogy</w:t>
            </w:r>
          </w:p>
          <w:p>
            <w:pPr>
              <w:pStyle w:val="ListParagraph"/>
              <w:numPr>
                <w:ilvl w:val="0"/>
                <w:numId w:val="2"/>
              </w:numPr>
            </w:pPr>
            <w:r>
              <w:t xml:space="preserve">Faculty development</w:t>
            </w:r>
          </w:p>
          <w:p>
            <w:pPr>
              <w:pStyle w:val="ListParagraph"/>
              <w:numPr>
                <w:ilvl w:val="0"/>
                <w:numId w:val="2"/>
              </w:numPr>
            </w:pPr>
            <w:r>
              <w:t xml:space="preserve">Instructional design</w:t>
            </w:r>
          </w:p>
          <w:p>
            <w:pPr>
              <w:pStyle w:val="ListParagraph"/>
              <w:numPr>
                <w:ilvl w:val="0"/>
                <w:numId w:val="2"/>
              </w:numPr>
            </w:pPr>
            <w:r>
              <w:t xml:space="preserve">Cognitive science</w:t>
            </w:r>
          </w:p>
          <w:p>
            <w:pPr>
              <w:pStyle w:val="ListParagraph"/>
              <w:numPr>
                <w:ilvl w:val="0"/>
                <w:numId w:val="2"/>
              </w:numPr>
            </w:pPr>
            <w:r>
              <w:t xml:space="preserve">Educational Technology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Resources</w:t>
            </w:r>
            <w:r>
              <w:t xml:space="preserv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Companion site for updates and resources: dataii.com/ai/guidebook or bit.ly/aigymedu</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Abstract</w:t>
            </w:r>
            <w:r>
              <w:t xml:space="preserv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guidebook provides practical frameworks for higher education faculty to integrate AI thoughtfully into their teaching practice. Drawing on neuroscience research, educational theory, and real-world implementation experience, it offers four core frameworks: Cognitive Triage (managing educator workload), The Intelligent Gearbox (understanding AI capabilities), The Cognitive Gym (designing learning for brain development), and The Intelligent Simpleton (cultivating a learn-it-all mindset). The guidebook emphasizes training brains rather than replacing them, offering concrete strategies for using AI to enhance rather than diminish critical thinking and deep learning.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(No translator notes for English source)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Translator notes (challenging expressions and solutions)</w:t>
            </w:r>
          </w:p>
        </w:tc>
      </w:tr>
    </w:tbl>
    <w:sectPr>
      <w:pgSz w:w="16838" w:h="11906" w:orient="landscape"/>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00" w:before="200"/>
      <w:outlineLvl w:val="0"/>
    </w:pPr>
    <w:rPr>
      <w:rFonts w:ascii="Arial" w:cs="Arial" w:eastAsia="Arial" w:hAnsi="Arial"/>
      <w:b/>
      <w:bCs/>
      <w:sz w:val="26"/>
      <w:szCs w:val="26"/>
    </w:rPr>
  </w:style>
  <w:style w:type="paragraph" w:styleId="Heading2">
    <w:name w:val="Heading 2"/>
    <w:basedOn w:val="Normal"/>
    <w:next w:val="Normal"/>
    <w:qFormat/>
    <w:pPr>
      <w:spacing w:after="80" w:before="160"/>
      <w:outlineLvl w:val="1"/>
    </w:pPr>
    <w:rPr>
      <w:rFonts w:ascii="Arial" w:cs="Arial" w:eastAsia="Arial" w:hAnsi="Arial"/>
      <w:b/>
      <w:bCs/>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2026-06-13T21:43:37.842Z</dcterms:created>
  <dcterms:modified xsi:type="dcterms:W3CDTF">2026-06-13T21:43:37.842Z</dcterms:modified>
</cp:coreProperties>
</file>

<file path=docProps/custom.xml><?xml version="1.0" encoding="utf-8"?>
<Properties xmlns="http://schemas.openxmlformats.org/officeDocument/2006/custom-properties" xmlns:vt="http://schemas.openxmlformats.org/officeDocument/2006/docPropsVTypes"/>
</file>