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rPr>
        <w:t xml:space="preserve">References ı Appendix ı Author ı Metadata</w:t>
      </w:r>
    </w:p>
    <w:p>
      <w:pPr>
        <w:ind w:left="360"/>
      </w:pPr>
      <w:r>
        <w:rPr>
          <w:b/>
          <w:bCs/>
        </w:rPr>
        <w:t xml:space="preserve">Source</w:t>
      </w:r>
      <w:r>
        <w:t xml:space="preserve">   Machajewski, Szymon. (2026). </w:t>
      </w:r>
      <w:r>
        <w:rPr>
          <w:i/>
          <w:iCs/>
        </w:rPr>
        <w:t xml:space="preserve">The Learn-It-All Educator — A Guidebook for Training Brains, Not Replacing Them with AI</w:t>
      </w:r>
      <w:r>
        <w:t xml:space="preserve">. Zenodo. https://doi.org/10.5281/ZENODO.18425283   Copyright © 2026 Szymon Machajewski · CC BY 4.0</w:t>
      </w:r>
    </w:p>
    <w:p>
      <w:pPr>
        <w:pStyle w:val="Heading2"/>
      </w:pPr>
      <w:r>
        <w:rPr>
          <w:b/>
          <w:bCs/>
        </w:rPr>
        <w:t xml:space="preserve">References</w:t>
      </w:r>
    </w:p>
    <w:p>
      <w:r>
        <w:t xml:space="preserve">Ardila, D., Kiraly, A. P., Bharadwaj, S., Choi, B., Reicher, J. J., Peng, L., Tse, D., Etemadi, M., Ye, W., Corrado, G., Naidich, D. P., &amp; Shetty, S. (2019). End-to-end lung cancer screening with three-dimensional deep learning on low-dose CT. Nature Medicine, 25, 954–961. https://doi.org/10.1038/s41591-019-0447-x</w:t>
      </w:r>
    </w:p>
    <w:p>
      <w:r>
        <w:t xml:space="preserve">Botelho, E. L., Powell, K. R., Kincaid, S., &amp; Wang, D. (2017, May). What sets successful CEOs apart. </w:t>
      </w:r>
      <w:r>
        <w:rPr>
          <w:i/>
          <w:iCs/>
        </w:rPr>
        <w:t xml:space="preserve">Harvard Business Review</w:t>
      </w:r>
      <w:r>
        <w:t xml:space="preserve">. https://hbr.org/2017/05/what-sets-successful-ceos-apart</w:t>
      </w:r>
    </w:p>
    <w:p>
      <w:r>
        <w:t xml:space="preserve">Botelho, E. L., &amp; Powell, K. R. (2018). </w:t>
      </w:r>
      <w:r>
        <w:rPr>
          <w:i/>
          <w:iCs/>
        </w:rPr>
        <w:t xml:space="preserve">The CEO next door: The 4 behaviors that transform ordinary people into world-class leaders</w:t>
      </w:r>
      <w:r>
        <w:t xml:space="preserve">. Currency.</w:t>
      </w:r>
    </w:p>
    <w:p>
      <w:r>
        <w:t xml:space="preserve">Chen, C., &amp; Cui, Z. (2025). Impact of AI-assisted diagnosis on American patients' trust in and intention to seek help from health care professionals: Randomized, web-based survey experiment. Journal of Medical Internet Research, 27, e66083. https://doi.org/10.2196/66083</w:t>
      </w:r>
    </w:p>
    <w:p>
      <w:r>
        <w:t xml:space="preserve">Every Learner Everywhere. (2020). Arizona State University: Scaling student success with adaptive courseware (Case study). https://www.everylearnereverywhere.org</w:t>
      </w:r>
    </w:p>
    <w:p>
      <w:r>
        <w:t xml:space="preserve">Haynes, A. B., Weiser, T. G., Berry, W. R., Lipsitz, S. R., Breizat, A. H. S., Dellinger, E. P., Herbosa, T., Joseph, S., Kibatala, P. L., Lapitan, M. C. M., Merry, A. F., Moorthy, K., Reznick, R. K., Taylor, B., &amp; Gawande, A. A. (2009). A surgical safety checklist to reduce morbidity and mortality in a global population. New England Journal of Medicine, 360(5), 491-499. https://doi.org/10.1056/NEJMsa0810119</w:t>
      </w:r>
    </w:p>
    <w:p>
      <w:r>
        <w:t xml:space="preserve">Haynes, A. B., Edmondson, L., Lipsitz, S. R., Molina, G., Neville, B. A., Singer, S. J., Moonan, A. T., Childers, A. K., Foster, R., Gibbons, L. R., Gawande, A. A., &amp; Berry, W. R. (2017). Mortality trends after a voluntary checklist-based surgical safety collaborative. Annals of Surgery, 266(6), 923–929. https://doi.org/10.1097/SLA.0000000000002249</w:t>
      </w:r>
    </w:p>
    <w:p>
      <w:r>
        <w:t xml:space="preserve">Hölzel, B. K., Carmody, J., Vangel, M., Congleton, C., Yerramsetti, S. M., Gard, T., &amp; Lazar, S. W. (2011). Mindfulness practice leads to increases in regional brain gray matter density. Psychiatry Research: Neuroimaging, 191(1), 36–43. https://doi.org/10.1016/j.pscychresns.2010.08.006</w:t>
      </w:r>
    </w:p>
    <w:p>
      <w:r>
        <w:t xml:space="preserve">Kosmyna, N., Hauptmann, E., Yuan, Y. T., Situ, J., Liao, X. H., Beresnitzky, A. V., Braunstein, I., &amp; Maes, P. (2025). Your brain on ChatGPT: Accumulation of cognitive debt when using an AI assistant for essay writing task. </w:t>
      </w:r>
      <w:r>
        <w:rPr>
          <w:i/>
          <w:iCs/>
        </w:rPr>
        <w:t xml:space="preserve">arXiv preprint</w:t>
      </w:r>
      <w:r>
        <w:t xml:space="preserve"> arXiv:2506.08872. https://arxiv.org/abs/2506.08872</w:t>
      </w:r>
    </w:p>
    <w:p>
      <w:r>
        <w:t xml:space="preserve">Nadella, S. (2016, August 4). The learn-it-all does better than the know-it-all \[Interview\]. </w:t>
      </w:r>
      <w:r>
        <w:rPr>
          <w:i/>
          <w:iCs/>
        </w:rPr>
        <w:t xml:space="preserve">Bloomberg Businessweek</w:t>
      </w:r>
      <w:r>
        <w:t xml:space="preserve">. https://www.bloomberg.com/news/articles/2016-08-04/microsoft-ceo-satya-nadella-on-his-plans-for-a-comeback</w:t>
      </w:r>
    </w:p>
    <w:p>
      <w:pPr>
        <w:pStyle w:val="Heading1"/>
      </w:pPr>
      <w:r>
        <w:rPr>
          <w:b/>
          <w:bCs/>
        </w:rPr>
        <w:t xml:space="preserve">Appendix: Companion Worksheets for Learn-It-All Educator</w:t>
      </w:r>
    </w:p>
    <w:p>
      <w:r>
        <w:t xml:space="preserve">Reading about teaching with AI is not the same as doing it. The four companion worksheets that accompany this guidebook translate each chapter's frameworks into hands-on, reflective activities designed for working instructors. They are built for pen-in-hand engagement: self-audits, task mapping, prompt construction, assignment redesign, identity interrogation, and concrete action planning.</w:t>
      </w:r>
    </w:p>
    <w:p>
      <w:r>
        <w:t xml:space="preserve">Each worksheet follows a consistent structure. Every activity begins with a </w:t>
      </w:r>
      <w:r>
        <w:rPr>
          <w:b/>
          <w:bCs/>
        </w:rPr>
        <w:t xml:space="preserve">Concept</w:t>
      </w:r>
      <w:r>
        <w:t xml:space="preserve"> drawn from the chapter, followed by a </w:t>
      </w:r>
      <w:r>
        <w:rPr>
          <w:b/>
          <w:bCs/>
        </w:rPr>
        <w:t xml:space="preserve">Directed Task</w:t>
      </w:r>
      <w:r>
        <w:t xml:space="preserve"> tied to your specific course, discipline, and students, and closes with a </w:t>
      </w:r>
      <w:r>
        <w:rPr>
          <w:b/>
          <w:bCs/>
        </w:rPr>
        <w:t xml:space="preserve">Response Area</w:t>
      </w:r>
      <w:r>
        <w:t xml:space="preserve"> for written reflection. You do not need to complete every activity. Choose the ones most relevant to your current teaching context.</w:t>
      </w:r>
    </w:p>
    <w:p>
      <w:r>
        <w:t xml:space="preserve">The worksheets are designed for use in workshops, faculty learning communities, department retreats, or self-guided professional development. They work equally well completed alone at a desk or discussed collaboratively in a group. Several activities explicitly ask you to pair with a colleague from a different discipline—the cross-disciplinary comparisons are where the most productive disagreements tend to surface.</w:t>
      </w:r>
    </w:p>
    <w:p>
      <w:pPr>
        <w:pStyle w:val="Heading2"/>
      </w:pPr>
      <w:r>
        <w:rPr>
          <w:b/>
          <w:bCs/>
        </w:rPr>
        <w:t xml:space="preserve">How to Access the Worksheets</w:t>
      </w:r>
    </w:p>
    <w:p>
      <w:r>
        <w:t xml:space="preserve">All four worksheets are available as free, downloadable PDFs under the same Creative Commons (CC BY 4.0) license as this guidebook:</w:t>
      </w:r>
    </w:p>
    <w:p>
      <w:r>
        <w:t xml:space="preserve">[dataii.com/ai/guidebook/#worksheets](https://dataii.com/ai/guidebook/#worksheets) and also below each chapter in this book.</w:t>
      </w:r>
    </w:p>
    <w:p>
      <w:r>
        <w:t xml:space="preserve">You may print them, project them in a workshop, annotate them digitally, or adapt them for your institutional context. Attribution is required; permission is not.</w:t>
      </w:r>
    </w:p>
    <w:p>
      <w:pPr>
        <w:pStyle w:val="Heading2"/>
      </w:pPr>
      <w:r>
        <w:rPr>
          <w:b/>
          <w:bCs/>
        </w:rPr>
        <w:t xml:space="preserve">What the Worksheets Ask You to Do</w:t>
      </w:r>
    </w:p>
    <w:p>
      <w:r>
        <w:t xml:space="preserve">Across the four worksheets, you will encounter over sixty activities. They cluster around several modes of critical engagement:</w:t>
      </w:r>
    </w:p>
    <w:p>
      <w:pPr>
        <w:pStyle w:val="ListParagraph"/>
        <w:numPr>
          <w:ilvl w:val="0"/>
          <w:numId w:val="2"/>
        </w:numPr>
      </w:pPr>
      <w:r>
        <w:rPr>
          <w:b/>
          <w:bCs/>
        </w:rPr>
        <w:t xml:space="preserve">Classify and prioritize.</w:t>
      </w:r>
      <w:r>
        <w:t xml:space="preserve"> Distinguish between work worth delegating and work worth protecting. Map your time. Name the tasks. Decide what stays human.</w:t>
      </w:r>
    </w:p>
    <w:p>
      <w:pPr>
        <w:pStyle w:val="ListParagraph"/>
        <w:numPr>
          <w:ilvl w:val="0"/>
          <w:numId w:val="2"/>
        </w:numPr>
      </w:pPr>
      <w:r>
        <w:rPr>
          <w:b/>
          <w:bCs/>
        </w:rPr>
        <w:t xml:space="preserve">Build and test.</w:t>
      </w:r>
      <w:r>
        <w:t xml:space="preserve"> Construct real AI prompts, run them, evaluate the output, then redesign your own assignments using the same scaffolding principles.</w:t>
      </w:r>
    </w:p>
    <w:p>
      <w:pPr>
        <w:pStyle w:val="ListParagraph"/>
        <w:numPr>
          <w:ilvl w:val="0"/>
          <w:numId w:val="2"/>
        </w:numPr>
      </w:pPr>
      <w:r>
        <w:rPr>
          <w:b/>
          <w:bCs/>
        </w:rPr>
        <w:t xml:space="preserve">Audit and verify.</w:t>
      </w:r>
      <w:r>
        <w:t xml:space="preserve"> Practice a five-step verification protocol on AI-generated content. Develop the editorial eye that distinguishes plausible from accurate.</w:t>
      </w:r>
    </w:p>
    <w:p>
      <w:pPr>
        <w:pStyle w:val="ListParagraph"/>
        <w:numPr>
          <w:ilvl w:val="0"/>
          <w:numId w:val="2"/>
        </w:numPr>
      </w:pPr>
      <w:r>
        <w:rPr>
          <w:b/>
          <w:bCs/>
        </w:rPr>
        <w:t xml:space="preserve">Reflect and confront.</w:t>
      </w:r>
      <w:r>
        <w:t xml:space="preserve"> Interrogate your own resistance. Label it honestly. Write a Permission to Learn letter. Document a learning transcript that captures the discomfort of being a beginner.</w:t>
      </w:r>
    </w:p>
    <w:p>
      <w:pPr>
        <w:pStyle w:val="ListParagraph"/>
        <w:numPr>
          <w:ilvl w:val="0"/>
          <w:numId w:val="2"/>
        </w:numPr>
      </w:pPr>
      <w:r>
        <w:rPr>
          <w:b/>
          <w:bCs/>
        </w:rPr>
        <w:t xml:space="preserve">Commit and act.</w:t>
      </w:r>
      <w:r>
        <w:t xml:space="preserve"> Every worksheet ends with a concrete action plan—specific, named, and schedulable commitments for the coming week or semester.</w:t>
      </w:r>
    </w:p>
    <w:p>
      <w:pPr>
        <w:pStyle w:val="Heading2"/>
      </w:pPr>
      <w:r>
        <w:rPr>
          <w:b/>
          <w:bCs/>
        </w:rPr>
        <w:t xml:space="preserve">A Note on Structure</w:t>
      </w:r>
    </w:p>
    <w:p>
      <w:r>
        <w:t xml:space="preserve">The worksheets are cumulative but not sequential. Worksheet 1 asks </w:t>
      </w:r>
      <w:r>
        <w:rPr>
          <w:i/>
          <w:iCs/>
        </w:rPr>
        <w:t xml:space="preserve">what</w:t>
      </w:r>
      <w:r>
        <w:t xml:space="preserve"> to delegate. Worksheet 2 asks </w:t>
      </w:r>
      <w:r>
        <w:rPr>
          <w:i/>
          <w:iCs/>
        </w:rPr>
        <w:t xml:space="preserve">how</w:t>
      </w:r>
      <w:r>
        <w:t xml:space="preserve"> to communicate with AI effectively. Worksheet 3 reverses the lens toward student learning and asks when AI should add friction rather than remove it. Worksheet 4 turns inward and asks </w:t>
      </w:r>
      <w:r>
        <w:rPr>
          <w:i/>
          <w:iCs/>
        </w:rPr>
        <w:t xml:space="preserve">who</w:t>
      </w:r>
      <w:r>
        <w:t xml:space="preserve"> you need to become to stay relevant.</w:t>
      </w:r>
    </w:p>
    <w:p>
      <w:r>
        <w:t xml:space="preserve">You may work through them in order or begin with the chapter that addresses your most pressing concern. Every worksheet ends with an action plan that produces specific, schedulable commitments—not aspirational statements, but concrete next steps you can take this week.</w:t>
      </w:r>
    </w:p>
    <w:p>
      <w:r>
        <w:t xml:space="preserve">The frameworks in this guidebook are designed to be used, not merely understood. The worksheets are where the using happens.</w:t>
      </w:r>
    </w:p>
    <w:p>
      <w:r>
        <w:t xml:space="preserve">Download all four worksheets at [dataii.com/ai/guidebook/#worksheets](https://dataii.com/ai/guidebook/#worksheets)</w:t>
      </w:r>
    </w:p>
    <w:p>
      <w:r>
        <w:t xml:space="preserve">© 2026 Szymon Machajewski. Licensed under Creative Commons Attribution 4.0 International (CC BY 4.0).</w:t>
      </w:r>
    </w:p>
    <w:p>
      <w:pPr>
        <w:pStyle w:val="Heading2"/>
      </w:pPr>
      <w:r>
        <w:rPr>
          <w:b/>
          <w:bCs/>
        </w:rPr>
        <w:t xml:space="preserve">About the Author</w:t>
      </w:r>
    </w:p>
    <w:p>
      <w:r>
        <w:t xml:space="preserve">Dr. Szymon Machajewski is an award-winning educator, AI strategist, and national leader in academic innovation. He serves as Associate Director of Academic Technology and Learning Innovation at the University of Illinois Chicago, where he leads the Digital Learning Infrastructure supporting 34,000 students across diverse colleges. He also continues to teach as an Adjunct Professor and Faculty Fellow for Teaching with AI Technology at Lansing Community College. With over two decades of experience across community colleges, four-year universities, and enterprise systems teams, he specializes in large-scale governance, academic technology modernization, and learning analytics initiatives.</w:t>
      </w:r>
    </w:p>
    <w:p>
      <w:r>
        <w:t xml:space="preserve">An early adopter of AI in education since 2013, Dr. Machajewski has pioneered work in natural language processing, student success analytics, and AI-enhanced pedagogy. He won the Amazon AI Hackathon for building an application that detects emotional distress in student writing and holds a U.S. patent in educational gamification focused on behavioral reinforcement. He also created the AI Instructional Framework Explorer, an interactive method and tool for evaluating when and how AI should participate in school environments through student and teacher simulations. The tool has reached over 1,000 educators across 21 institutions within its first two months.</w:t>
      </w:r>
    </w:p>
    <w:p>
      <w:r>
        <w:t xml:space="preserve">His thought leadership appears in </w:t>
      </w:r>
      <w:r>
        <w:rPr>
          <w:i/>
          <w:iCs/>
        </w:rPr>
        <w:t xml:space="preserve">Inside Higher Ed</w:t>
      </w:r>
      <w:r>
        <w:t xml:space="preserve"> (including "How AI Is Exploding Our Illusions of Rigor"), </w:t>
      </w:r>
      <w:r>
        <w:rPr>
          <w:i/>
          <w:iCs/>
        </w:rPr>
        <w:t xml:space="preserve">EDUCAUSE Review</w:t>
      </w:r>
      <w:r>
        <w:t xml:space="preserve"> ("English 2.0: AI-Driven Language Transformation"), and </w:t>
      </w:r>
      <w:r>
        <w:rPr>
          <w:i/>
          <w:iCs/>
        </w:rPr>
        <w:t xml:space="preserve">EdTech Digest</w:t>
      </w:r>
      <w:r>
        <w:t xml:space="preserve"> ("The AI Revolution in Chess and Its Impact on Education: Unlocking the Joy of Learning with a Spirit of Play"), as well as in UNESCO publications on AI in teacher development. His chapter "AI-Powered Student Support and Advising" was published by Routledge in 2026. He has also delivered keynote presentations, including a TEDx talk on immersive feedback environments that accelerate student learning.</w:t>
      </w:r>
    </w:p>
    <w:p>
      <w:r>
        <w:t xml:space="preserve">Dr. Machajewski's influence extends through leadership in national and global AI governance efforts. He serves on the EDSAFE AI Alliance Council and the AI Companions Task Force shaping future AI standards for education. He has also served as an expert for the </w:t>
      </w:r>
      <w:r>
        <w:rPr>
          <w:i/>
          <w:iCs/>
        </w:rPr>
        <w:t xml:space="preserve">EDUCAUSE Horizon</w:t>
      </w:r>
      <w:r>
        <w:t xml:space="preserve"> Generative AI Action Plan, the Horizon Data &amp; Analytics Edition, and the EDUCAUSE–AWS AI Readiness Assessment Panel.</w:t>
      </w:r>
    </w:p>
    <w:p>
      <w:r>
        <w:t xml:space="preserve">His contributions have earned numerous honors, including the Catalyst Impact Award for AI Leadership, the UIC Award of Merit for data-informed student success strategies, the National Award for Leading Change, the Most Inclusive Classroom Award, and the Exemplary Course Design Award.</w:t>
      </w:r>
    </w:p>
    <w:p>
      <w:r>
        <w:t xml:space="preserve">A certified Mental Health First Aid practitioner, Dr. Machajewski is committed to supporting equitable, human-centered learning environments where technology amplifies - rather than replaces - human judgment, creativity, and connection.</w:t>
      </w:r>
    </w:p>
    <w:p>
      <w:r>
        <w:t xml:space="preserve">Dr. Machajewski is available for invited talks, workshops, and conference keynotes on AI in higher education, academic integrity in the age of AI, and instructional design for cognitive development. For speaking inquiries and supplementary materials related to this guidebook, visit dataii.com/ai/guidebook</w:t>
      </w:r>
    </w:p>
    <w:p>
      <w:pPr>
        <w:pStyle w:val="Heading2"/>
      </w:pPr>
      <w:r>
        <w:rPr>
          <w:b/>
          <w:bCs/>
        </w:rPr>
        <w:t xml:space="preserve">Publication Metadata</w:t>
      </w:r>
    </w:p>
    <w:p>
      <w:r>
        <w:rPr>
          <w:b/>
          <w:bCs/>
        </w:rPr>
        <w:t xml:space="preserve">Keywords:</w:t>
      </w:r>
    </w:p>
    <w:p>
      <w:pPr>
        <w:pStyle w:val="ListParagraph"/>
        <w:numPr>
          <w:ilvl w:val="0"/>
          <w:numId w:val="2"/>
        </w:numPr>
      </w:pPr>
      <w:r>
        <w:t xml:space="preserve">Higher education</w:t>
      </w:r>
    </w:p>
    <w:p>
      <w:pPr>
        <w:pStyle w:val="ListParagraph"/>
        <w:numPr>
          <w:ilvl w:val="0"/>
          <w:numId w:val="2"/>
        </w:numPr>
      </w:pPr>
      <w:r>
        <w:t xml:space="preserve">Artificial intelligence</w:t>
      </w:r>
    </w:p>
    <w:p>
      <w:pPr>
        <w:pStyle w:val="ListParagraph"/>
        <w:numPr>
          <w:ilvl w:val="0"/>
          <w:numId w:val="2"/>
        </w:numPr>
      </w:pPr>
      <w:r>
        <w:t xml:space="preserve">Pedagogy</w:t>
      </w:r>
    </w:p>
    <w:p>
      <w:pPr>
        <w:pStyle w:val="ListParagraph"/>
        <w:numPr>
          <w:ilvl w:val="0"/>
          <w:numId w:val="2"/>
        </w:numPr>
      </w:pPr>
      <w:r>
        <w:t xml:space="preserve">Faculty development</w:t>
      </w:r>
    </w:p>
    <w:p>
      <w:pPr>
        <w:pStyle w:val="ListParagraph"/>
        <w:numPr>
          <w:ilvl w:val="0"/>
          <w:numId w:val="2"/>
        </w:numPr>
      </w:pPr>
      <w:r>
        <w:t xml:space="preserve">Instructional design</w:t>
      </w:r>
    </w:p>
    <w:p>
      <w:pPr>
        <w:pStyle w:val="ListParagraph"/>
        <w:numPr>
          <w:ilvl w:val="0"/>
          <w:numId w:val="2"/>
        </w:numPr>
      </w:pPr>
      <w:r>
        <w:t xml:space="preserve">Cognitive science</w:t>
      </w:r>
    </w:p>
    <w:p>
      <w:pPr>
        <w:pStyle w:val="ListParagraph"/>
        <w:numPr>
          <w:ilvl w:val="0"/>
          <w:numId w:val="2"/>
        </w:numPr>
      </w:pPr>
      <w:r>
        <w:t xml:space="preserve">Educational Technology</w:t>
      </w:r>
    </w:p>
    <w:p>
      <w:r>
        <w:rPr>
          <w:b/>
          <w:bCs/>
        </w:rPr>
        <w:t xml:space="preserve">Resources</w:t>
      </w:r>
      <w:r>
        <w:t xml:space="preserve">:</w:t>
      </w:r>
    </w:p>
    <w:p>
      <w:r>
        <w:t xml:space="preserve">Companion site for updates and resources: dataii.com/ai/guidebook or bit.ly/aigymedu</w:t>
      </w:r>
    </w:p>
    <w:p>
      <w:r>
        <w:rPr>
          <w:b/>
          <w:bCs/>
        </w:rPr>
        <w:t xml:space="preserve">Abstract</w:t>
      </w:r>
      <w:r>
        <w:t xml:space="preserve">:</w:t>
      </w:r>
    </w:p>
    <w:p>
      <w:r>
        <w:t xml:space="preserve">This guidebook provides practical frameworks for higher education faculty to integrate AI thoughtfully into their teaching practice. Drawing on neuroscience research, educational theory, and real-world implementation experience, it offers four core frameworks: Cognitive Triage (managing educator workload), The Intelligent Gearbox (understanding AI capabilities), The Cognitive Gym (designing learning for brain development), and The Intelligent Simpleton (cultivating a learn-it-all mindset). The guidebook emphasizes training brains rather than replacing them, offering concrete strategies for using AI to enhance rather than diminish critical thinking and deep learning.</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Arial" w:cs="Arial" w:eastAsia="Arial" w:hAnsi="Arial"/>
      <w:b/>
      <w:bCs/>
      <w:sz w:val="32"/>
      <w:szCs w:val="32"/>
    </w:rPr>
  </w:style>
  <w:style w:type="paragraph" w:styleId="Heading2">
    <w:name w:val="Heading 2"/>
    <w:basedOn w:val="Normal"/>
    <w:next w:val="Normal"/>
    <w:qFormat/>
    <w:pPr>
      <w:spacing w:after="100" w:before="200"/>
      <w:outlineLvl w:val="1"/>
    </w:pPr>
    <w:rPr>
      <w:rFonts w:ascii="Arial" w:cs="Arial" w:eastAsia="Arial" w:hAnsi="Arial"/>
      <w:b/>
      <w:bCs/>
      <w:sz w:val="26"/>
      <w:szCs w:val="26"/>
    </w:rPr>
  </w:style>
  <w:style w:type="paragraph" w:styleId="Heading3">
    <w:name w:val="Heading 3"/>
    <w:basedOn w:val="Normal"/>
    <w:next w:val="Normal"/>
    <w:qFormat/>
    <w:pPr>
      <w:spacing w:after="80" w:before="160"/>
      <w:outlineLvl w:val="2"/>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2026-06-13T21:43:37.836Z</dcterms:created>
  <dcterms:modified xsi:type="dcterms:W3CDTF">2026-06-13T21:43:37.836Z</dcterms:modified>
</cp:coreProperties>
</file>

<file path=docProps/custom.xml><?xml version="1.0" encoding="utf-8"?>
<Properties xmlns="http://schemas.openxmlformats.org/officeDocument/2006/custom-properties" xmlns:vt="http://schemas.openxmlformats.org/officeDocument/2006/docPropsVTypes"/>
</file>