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16</w:t>
      </w:r>
      <w:r>
        <w:t xml:space="preserve"> </w:t>
      </w:r>
      <w:r>
        <w:t xml:space="preserve">—</w:t>
      </w:r>
      <w:r>
        <w:t xml:space="preserve"> </w:t>
      </w:r>
      <w:r>
        <w:t xml:space="preserve">Normalisering</w:t>
      </w:r>
      <w:r>
        <w:t xml:space="preserve"> </w:t>
      </w:r>
      <w:r>
        <w:t xml:space="preserve">af</w:t>
      </w:r>
      <w:r>
        <w:t xml:space="preserve"> </w:t>
      </w:r>
      <w:r>
        <w:t xml:space="preserve">ikke-at-vide:</w:t>
      </w:r>
      <w:r>
        <w:t xml:space="preserve"> </w:t>
      </w:r>
      <w:r>
        <w:t xml:space="preserve">Simpleton-øjeblikket</w:t>
      </w:r>
      <w:r>
        <w:t xml:space="preserve"> </w:t>
      </w:r>
      <w:r>
        <w:t xml:space="preserve">til</w:t>
      </w:r>
      <w:r>
        <w:t xml:space="preserve"> </w:t>
      </w:r>
      <w:r>
        <w:t xml:space="preserve">undervisningen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i</w:t>
      </w:r>
      <w:r>
        <w:t xml:space="preserve"> </w:t>
      </w:r>
      <w:r>
        <w:t xml:space="preserve">praksis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Et Simpleton-øjeblik er en struktureret protokol: underviseren støder på noget, de ikke ved, navngiver det eksplicit og inviterer studerende ind i undersøgelsen. Det centrale designprincipper: øjeblikket skal være</w:t>
      </w:r>
      <w:r>
        <w:t xml:space="preserve"> </w:t>
      </w:r>
      <w:r>
        <w:rPr>
          <w:b/>
        </w:rPr>
        <w:t xml:space="preserve">genuint</w:t>
      </w:r>
      <w:r>
        <w:t xml:space="preserve">, ikke performativt. Fabrikeret uvidenhed er øjeblikkelig synlig for studerende og ødelægger tilliden.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det genuine usikkerhedsområde, du vil bruge.</w:t>
      </w:r>
    </w:p>
    <w:p>
      <w:pPr>
        <w:numPr>
          <w:ilvl w:val="0"/>
          <w:numId w:val="1001"/>
        </w:numPr>
        <w:pStyle w:val="Compact"/>
      </w:pPr>
      <w:r>
        <w:t xml:space="preserve">☐ Manuskriptskriv hvad du vil sige.</w:t>
      </w:r>
    </w:p>
    <w:p>
      <w:pPr>
        <w:numPr>
          <w:ilvl w:val="0"/>
          <w:numId w:val="1001"/>
        </w:numPr>
        <w:pStyle w:val="Compact"/>
      </w:pPr>
      <w:r>
        <w:t xml:space="preserve">☐ Beskriv, hvordan studerende vil deltage i undersøgelsen.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Det genuine usikkerhedsområde, jeg vil bruge: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Fase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jeg vil sige eller gøre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Indledende ramme (Signal om at usikkerhed er bevidst, ikke et fejlgreb)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Indrømmelsen (Navngiv præcis det, jeg ikke ved, med mine egne ord)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Studerendeinvitation (Hvordan studerende vil deltage i at undersøge svaret)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Debrief (Hvad vi lærte om læring fra dette øjeblik)</w:t>
            </w:r>
          </w:p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16 — Normalisering af ikke-at-vide: Simpleton-øjeblikket til undervisningen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D: The Intelligent Simpleton i praksis</vt:lpwstr>
  </property>
</Properties>
</file>