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Aktivitet</w:t>
      </w:r>
      <w:r>
        <w:t xml:space="preserve"> </w:t>
      </w:r>
      <w:r>
        <w:t xml:space="preserve">14</w:t>
      </w:r>
      <w:r>
        <w:t xml:space="preserve"> </w:t>
      </w:r>
      <w:r>
        <w:t xml:space="preserve">—</w:t>
      </w:r>
      <w:r>
        <w:t xml:space="preserve"> </w:t>
      </w:r>
      <w:r>
        <w:t xml:space="preserve">Frirummet:</w:t>
      </w:r>
      <w:r>
        <w:t xml:space="preserve"> </w:t>
      </w:r>
      <w:r>
        <w:t xml:space="preserve">at</w:t>
      </w:r>
      <w:r>
        <w:t xml:space="preserve"> </w:t>
      </w:r>
      <w:r>
        <w:t xml:space="preserve">indrømme</w:t>
      </w:r>
      <w:r>
        <w:t xml:space="preserve"> </w:t>
      </w:r>
      <w:r>
        <w:t xml:space="preserve">en</w:t>
      </w:r>
      <w:r>
        <w:t xml:space="preserve"> </w:t>
      </w:r>
      <w:r>
        <w:t xml:space="preserve">videnskløft</w:t>
      </w:r>
    </w:p>
    <w:p>
      <w:pPr>
        <w:pStyle w:val="Subtitle"/>
      </w:pPr>
      <w:r>
        <w:t xml:space="preserve">Kapitel</w:t>
      </w:r>
      <w:r>
        <w:t xml:space="preserve"> </w:t>
      </w:r>
      <w:r>
        <w:t xml:space="preserve">4:</w:t>
      </w:r>
      <w:r>
        <w:t xml:space="preserve"> </w:t>
      </w:r>
      <w:r>
        <w:t xml:space="preserve">The</w:t>
      </w:r>
      <w:r>
        <w:t xml:space="preserve"> </w:t>
      </w:r>
      <w:r>
        <w:t xml:space="preserve">Intelligent</w:t>
      </w:r>
      <w:r>
        <w:t xml:space="preserve"> </w:t>
      </w:r>
      <w:r>
        <w:t xml:space="preserve">Simpleton</w:t>
      </w:r>
      <w:r>
        <w:t xml:space="preserve"> </w:t>
      </w:r>
      <w:r>
        <w:t xml:space="preserve">·</w:t>
      </w:r>
      <w:r>
        <w:t xml:space="preserve"> </w:t>
      </w:r>
      <w:r>
        <w:t xml:space="preserve">Sektion</w:t>
      </w:r>
      <w:r>
        <w:t xml:space="preserve"> </w:t>
      </w:r>
      <w:r>
        <w:t xml:space="preserve">D:</w:t>
      </w:r>
      <w:r>
        <w:t xml:space="preserve"> </w:t>
      </w:r>
      <w:r>
        <w:t xml:space="preserve">The</w:t>
      </w:r>
      <w:r>
        <w:t xml:space="preserve"> </w:t>
      </w:r>
      <w:r>
        <w:t xml:space="preserve">Intelligent</w:t>
      </w:r>
      <w:r>
        <w:t xml:space="preserve"> </w:t>
      </w:r>
      <w:r>
        <w:t xml:space="preserve">Simpleton</w:t>
      </w:r>
      <w:r>
        <w:t xml:space="preserve"> </w:t>
      </w:r>
      <w:r>
        <w:t xml:space="preserve">i</w:t>
      </w:r>
      <w:r>
        <w:t xml:space="preserve"> </w:t>
      </w:r>
      <w:r>
        <w:t xml:space="preserve">praksis</w:t>
      </w:r>
    </w:p>
    <w:p>
      <w:pPr>
        <w:pStyle w:val="BlockText"/>
      </w:pPr>
      <w:r>
        <w:t xml:space="preserve">Copyright © 2026 Szymon Machajewski · CC BY 4.0</w:t>
      </w:r>
    </w:p>
    <w:p>
      <w:r>
        <w:pict>
          <v:rect style="width:0;height:1.5pt" o:hralign="center" o:hrstd="t" o:hr="t"/>
        </w:pict>
      </w:r>
    </w:p>
    <w:p>
      <w:pPr>
        <w:pStyle w:val="FirstParagraph"/>
      </w:pPr>
      <w:r>
        <w:rPr>
          <w:b/>
        </w:rPr>
        <w:t xml:space="preserve">Navn:</w:t>
      </w:r>
      <w:r>
        <w:t xml:space="preserve"> </w:t>
      </w:r>
      <w:r>
        <w:rPr>
          <w:b/>
        </w:rPr>
        <w:t xml:space="preserve">________</w:t>
      </w:r>
      <w:r>
        <w:t xml:space="preserve"> </w:t>
      </w:r>
      <w:r>
        <w:rPr>
          <w:b/>
        </w:rPr>
        <w:t xml:space="preserve">Dato:</w:t>
      </w:r>
      <w:r>
        <w:t xml:space="preserve"> </w:t>
      </w:r>
      <w:r>
        <w:rPr>
          <w:b/>
        </w:rPr>
        <w:t xml:space="preserve">____</w:t>
      </w:r>
      <w:r>
        <w:br/>
      </w:r>
      <w:r>
        <w:rPr>
          <w:b/>
        </w:rPr>
        <w:t xml:space="preserve">Kursus / Program:</w:t>
      </w:r>
      <w:r>
        <w:t xml:space="preserve"> </w:t>
      </w:r>
      <w:r>
        <w:rPr>
          <w:b/>
        </w:rPr>
        <w:t xml:space="preserve">________</w:t>
      </w:r>
      <w:r>
        <w:t xml:space="preserve"> </w:t>
      </w:r>
      <w:r>
        <w:rPr>
          <w:b/>
        </w:rPr>
        <w:t xml:space="preserve">Institution:</w:t>
      </w:r>
      <w:r>
        <w:t xml:space="preserve"> </w:t>
      </w:r>
      <w:r>
        <w:rPr>
          <w:b/>
        </w:rPr>
        <w:t xml:space="preserve">________</w:t>
      </w:r>
    </w:p>
    <w:p>
      <w:r>
        <w:pict>
          <v:rect style="width:0;height:1.5pt" o:hralign="center" o:hrstd="t" o:hr="t"/>
        </w:pict>
      </w:r>
    </w:p>
    <w:p>
      <w:pPr>
        <w:pStyle w:val="Heading2"/>
      </w:pPr>
      <w:bookmarkStart w:id="20" w:name="begreb"/>
      <w:r>
        <w:t xml:space="preserve">📍 Begreb</w:t>
      </w:r>
      <w:bookmarkEnd w:id="20"/>
    </w:p>
    <w:p>
      <w:pPr>
        <w:pStyle w:val="FirstParagraph"/>
      </w:pPr>
      <w:r>
        <w:t xml:space="preserve">AI tilbyder et</w:t>
      </w:r>
      <w:r>
        <w:t xml:space="preserve"> </w:t>
      </w:r>
      <w:r>
        <w:rPr>
          <w:i/>
          <w:b/>
        </w:rPr>
        <w:t xml:space="preserve">frirum</w:t>
      </w:r>
      <w:r>
        <w:t xml:space="preserve"> </w:t>
      </w:r>
      <w:r>
        <w:t xml:space="preserve">for læring. Den vil ikke tænke dårligere om dig for at stille elementære spørgsmål. Den vil ikke sladre til kolleger om dine videnshuller. Den vil tålmodigt forklare, forklare igen og forklare endnu en gang, indtil du forstår. Den mest nyttige private læring sker, når man kan navngive præcis det, man ikke forstår.</w:t>
      </w:r>
    </w:p>
    <w:p>
      <w:r>
        <w:pict>
          <v:rect style="width:0;height:1.5pt" o:hralign="center" o:hrstd="t" o:hr="t"/>
        </w:pict>
      </w:r>
    </w:p>
    <w:p>
      <w:pPr>
        <w:pStyle w:val="Heading2"/>
      </w:pPr>
      <w:bookmarkStart w:id="21" w:name="opgave"/>
      <w:r>
        <w:t xml:space="preserve">▶ Opgave</w:t>
      </w:r>
      <w:bookmarkEnd w:id="21"/>
    </w:p>
    <w:p>
      <w:pPr>
        <w:numPr>
          <w:ilvl w:val="0"/>
          <w:numId w:val="1001"/>
        </w:numPr>
        <w:pStyle w:val="Compact"/>
      </w:pPr>
      <w:r>
        <w:t xml:space="preserve">☐ Identificér ét begreb, du føler, du burde forstå men ikke gør. Navngiv det specifikt.</w:t>
      </w:r>
    </w:p>
    <w:p>
      <w:pPr>
        <w:numPr>
          <w:ilvl w:val="0"/>
          <w:numId w:val="1001"/>
        </w:numPr>
        <w:pStyle w:val="Compact"/>
      </w:pPr>
      <w:r>
        <w:t xml:space="preserve">☐ Skriv den private tutor-prompt, du faktisk vil bruge denne uge.</w:t>
      </w:r>
    </w:p>
    <w:p>
      <w:pPr>
        <w:numPr>
          <w:ilvl w:val="0"/>
          <w:numId w:val="1001"/>
        </w:numPr>
        <w:pStyle w:val="Compact"/>
      </w:pPr>
      <w:r>
        <w:t xml:space="preserve">☐ Forudse tre opfølgningsspørgsmål, herunder mindst ét, der føles ubehageligt at indrømme.</w:t>
      </w:r>
    </w:p>
    <w:p>
      <w:r>
        <w:pict>
          <v:rect style="width:0;height:1.5pt" o:hralign="center" o:hrstd="t" o:hr="t"/>
        </w:pict>
      </w:r>
    </w:p>
    <w:p>
      <w:pPr>
        <w:pStyle w:val="Heading2"/>
      </w:pPr>
      <w:bookmarkStart w:id="22" w:name="svarfelt"/>
      <w:r>
        <w:t xml:space="preserve">✏️ Svarfelt</w:t>
      </w:r>
      <w:bookmarkEnd w:id="22"/>
    </w:p>
    <w:p>
      <w:pPr>
        <w:pStyle w:val="FirstParagraph"/>
      </w:pPr>
      <w:r>
        <w:rPr>
          <w:i/>
          <w:b/>
        </w:rPr>
        <w:t xml:space="preserve">Det begreb, jeg er flov over ikke fuldt ud at forstå (navngiv det specifikt):</w:t>
      </w:r>
    </w:p>
    <w:tbl>
      <w:tblPr>
        <w:tblStyle w:val="Table"/>
        <w:tblW w:type="pct" w:w="0.0"/>
        <w:tblLook w:firstRow="0"/>
      </w:tblPr>
      <w:tblGrid/>
      <w:tr>
        <w:tc>
          <w:p/>
        </w:tc>
      </w:tr>
      <w:tr>
        <w:tc>
          <w:p/>
        </w:tc>
      </w:tr>
      <w:tr>
        <w:tc>
          <w:p/>
        </w:tc>
      </w:tr>
    </w:tbl>
    <w:p>
      <w:pPr>
        <w:pStyle w:val="FirstParagraph"/>
      </w:pPr>
      <w:r>
        <w:rPr>
          <w:b/>
        </w:rPr>
        <w:t xml:space="preserve">PROMPT-SKABELON</w:t>
      </w:r>
    </w:p>
    <w:p>
      <w:pPr>
        <w:pStyle w:val="BodyText"/>
      </w:pPr>
      <w:r>
        <w:t xml:space="preserve">Jeg ønsker at forstå [BEGREB] — og jeg er flov over at indrømme, at jeg ikke fuldt ud forstår det.</w:t>
      </w:r>
    </w:p>
    <w:p>
      <w:pPr>
        <w:pStyle w:val="BodyText"/>
      </w:pPr>
      <w:r>
        <w:t xml:space="preserve">Forklar det for mig med den antagelse, at jeg intet ved.</w:t>
      </w:r>
    </w:p>
    <w:p>
      <w:pPr>
        <w:pStyle w:val="BodyText"/>
      </w:pPr>
      <w:r>
        <w:t xml:space="preserve">Start med den mest grundlæggende version mulig. Brug en konkret analogi fra hverdagslivet.</w:t>
      </w:r>
    </w:p>
    <w:p>
      <w:pPr>
        <w:pStyle w:val="BodyText"/>
      </w:pPr>
      <w:r>
        <w:t xml:space="preserve">Brug ikke fagtermer, inden jeg fortæller dig, at jeg er klar til dem.</w:t>
      </w:r>
    </w:p>
    <w:p>
      <w:pPr>
        <w:pStyle w:val="BodyText"/>
      </w:pPr>
      <w:r>
        <w:rPr>
          <w:i/>
          <w:b/>
        </w:rPr>
        <w:t xml:space="preserve">Tre opfølgningsspørgsmål, jeg forventer at have brug for at stille (inkluder mindst ét ubehageligt):</w:t>
      </w:r>
    </w:p>
    <w:tbl>
      <w:tblPr>
        <w:tblStyle w:val="Table"/>
        <w:tblW w:type="pct" w:w="0.0"/>
        <w:tblLook w:firstRow="0"/>
      </w:tblPr>
      <w:tblGrid/>
      <w:tr>
        <w:tc>
          <w:p/>
        </w:tc>
      </w:tr>
      <w:tr>
        <w:tc>
          <w:p/>
        </w:tc>
      </w:tr>
      <w:tr>
        <w:tc>
          <w:p/>
        </w:tc>
      </w:tr>
      <w:tr>
        <w:tc>
          <w:p/>
        </w:tc>
      </w:tr>
      <w:tr>
        <w:tc>
          <w:p/>
        </w:tc>
      </w:tr>
    </w:tbl>
    <w:p>
      <w:pPr>
        <w:pStyle w:val="FirstParagraph"/>
      </w:pPr>
      <w:r>
        <w:rPr>
          <w:i/>
          <w:b/>
        </w:rPr>
        <w:t xml:space="preserve">Hvad forventer jeg at forstå efter denne session, som jeg ikke kunne forklare klart inden den?</w:t>
      </w:r>
    </w:p>
    <w:tbl>
      <w:tblPr>
        <w:tblStyle w:val="Table"/>
        <w:tblW w:type="pct" w:w="0.0"/>
        <w:tblLook w:firstRow="0"/>
      </w:tblPr>
      <w:tblGrid/>
      <w:tr>
        <w:tc>
          <w:p/>
        </w:tc>
      </w:tr>
      <w:tr>
        <w:tc>
          <w:p/>
        </w:tc>
      </w:tr>
      <w:tr>
        <w:tc>
          <w:p/>
        </w:tc>
      </w:tr>
      <w:tr>
        <w:tc>
          <w:p/>
        </w:tc>
      </w:tr>
    </w:tbl>
    <w:p>
      <w:r>
        <w:pict>
          <v:rect style="width:0;height:1.5pt" o:hralign="center" o:hrstd="t" o:hr="t"/>
        </w:pict>
      </w:r>
    </w:p>
    <w:p>
      <w:pPr>
        <w:pStyle w:val="FirstParagraph"/>
      </w:pPr>
      <w:r>
        <w:t xml:space="preserve">←</w:t>
      </w:r>
      <w:r>
        <w:t xml:space="preserve"> </w:t>
      </w:r>
      <w:hyperlink r:id="rId23">
        <w:r>
          <w:rPr>
            <w:rStyle w:val="Hyperlink"/>
          </w:rPr>
          <w:t xml:space="preserve">Tilbage til hub</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Arbejdsark%20kap.%204%3A%20The%20Intelligent%20Simpleton.md" TargetMode="External" /></Relationships>
</file>

<file path=word/_rels/footnotes.xml.rels><?xml version="1.0" encoding="UTF-8"?>
<Relationships xmlns="http://schemas.openxmlformats.org/package/2006/relationships"><Relationship Type="http://schemas.openxmlformats.org/officeDocument/2006/relationships/hyperlink" Id="rId23" Target="../Arbejdsark%20kap.%204%3A%20The%20Intelligent%20Simpleton.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Aktivitet 14 — Frirummet: at indrømme en videnskløft</dc:title>
  <dc:creator/>
  <cp:keywords/>
  <dcterms:created xsi:type="dcterms:W3CDTF">2026-06-15T00:45:32Z</dcterms:created>
  <dcterms:modified xsi:type="dcterms:W3CDTF">2026-06-15T00:45:32Z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Kapitel 4: The Intelligent Simpleton · Sektion D: The Intelligent Simpleton i praksis</vt:lpwstr>
  </property>
</Properties>
</file>