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4</w:t>
      </w:r>
      <w:r>
        <w:t xml:space="preserve"> </w:t>
      </w:r>
      <w:r>
        <w:t xml:space="preserve">—</w:t>
      </w:r>
      <w:r>
        <w:t xml:space="preserve"> </w:t>
      </w:r>
      <w:r>
        <w:t xml:space="preserve">Udløbsdato-stresstesten</w:t>
      </w:r>
    </w:p>
    <w:p>
      <w:pPr>
        <w:pStyle w:val="Subtitle"/>
      </w:pPr>
      <w:r>
        <w:t xml:space="preserve">Kapitel</w:t>
      </w:r>
      <w:r>
        <w:t xml:space="preserve"> </w:t>
      </w:r>
      <w:r>
        <w:t xml:space="preserve">4:</w:t>
      </w:r>
      <w:r>
        <w:t xml:space="preserve"> </w:t>
      </w:r>
      <w:r>
        <w:t xml:space="preserve">The</w:t>
      </w:r>
      <w:r>
        <w:t xml:space="preserve"> </w:t>
      </w:r>
      <w:r>
        <w:t xml:space="preserve">Intelligent</w:t>
      </w:r>
      <w:r>
        <w:t xml:space="preserve"> </w:t>
      </w:r>
      <w:r>
        <w:t xml:space="preserve">Simpleton</w:t>
      </w:r>
      <w:r>
        <w:t xml:space="preserve"> </w:t>
      </w:r>
      <w:r>
        <w:t xml:space="preserve">·</w:t>
      </w:r>
      <w:r>
        <w:t xml:space="preserve"> </w:t>
      </w:r>
      <w:r>
        <w:t xml:space="preserve">Sektion</w:t>
      </w:r>
      <w:r>
        <w:t xml:space="preserve"> </w:t>
      </w:r>
      <w:r>
        <w:t xml:space="preserve">A:</w:t>
      </w:r>
      <w:r>
        <w:t xml:space="preserve"> </w:t>
      </w:r>
      <w:r>
        <w:t xml:space="preserve">Egofælden</w:t>
      </w:r>
      <w:r>
        <w:t xml:space="preserve"> </w:t>
      </w:r>
      <w:r>
        <w:t xml:space="preserve">og</w:t>
      </w:r>
      <w:r>
        <w:t xml:space="preserve"> </w:t>
      </w:r>
      <w:r>
        <w:t xml:space="preserve">den</w:t>
      </w:r>
      <w:r>
        <w:t xml:space="preserve"> </w:t>
      </w:r>
      <w:r>
        <w:t xml:space="preserve">professionelle</w:t>
      </w:r>
      <w:r>
        <w:t xml:space="preserve"> </w:t>
      </w:r>
      <w:r>
        <w:t xml:space="preserve">identitet</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Den ekspert, der ikke kan blive begynder igen, er en ekspert med en udløbsdato. Hvert felt har vidensområder, der har ændret sig markant inden for de seneste fem år. At kortlægge disse ændringer afslører, hvor din ekspertise er mest aktuel, og hvor kontinuerlig læring ikke er valgfri men en faglig forpligtelse.</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Trin 1: Identificér det vidensområde, der har ændret sig mest markant inden for de seneste fem år.</w:t>
      </w:r>
    </w:p>
    <w:p>
      <w:pPr>
        <w:numPr>
          <w:ilvl w:val="0"/>
          <w:numId w:val="1001"/>
        </w:numPr>
        <w:pStyle w:val="Compact"/>
      </w:pPr>
      <w:r>
        <w:t xml:space="preserve">☐ Trin 2: Projektér fem år frem og estimér, hvad der stadig vil være relevant.</w:t>
      </w:r>
    </w:p>
    <w:p>
      <w:pPr>
        <w:numPr>
          <w:ilvl w:val="0"/>
          <w:numId w:val="1001"/>
        </w:numPr>
        <w:pStyle w:val="Compact"/>
      </w:pPr>
      <w:r>
        <w:t xml:space="preserve">☐ Trin 3: Navngiv den ene ting, du er mest modstræbende over for at lære, og vurdér ærligt, om det er faglig vurdering eller udløbsdato-undgåelse.</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Det vidensområde inden for mit fag, der har ændret sig mest de seneste 5 år:</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Ekspertiseområde</w:t>
            </w:r>
          </w:p>
        </w:tc>
        <w:tc>
          <w:tcPr>
            <w:tcBorders>
              <w:bottom w:val="single"/>
            </w:tcBorders>
            <w:vAlign w:val="bottom"/>
          </w:tcPr>
          <w:p>
            <w:pPr>
              <w:pStyle w:val="Compact"/>
              <w:jc w:val="left"/>
            </w:pPr>
            <w:r>
              <w:rPr>
                <w:b/>
              </w:rPr>
              <w:t xml:space="preserve">% stadig relevant om 5 år?</w:t>
            </w:r>
          </w:p>
        </w:tc>
        <w:tc>
          <w:tcPr>
            <w:tcBorders>
              <w:bottom w:val="single"/>
            </w:tcBorders>
            <w:vAlign w:val="bottom"/>
          </w:tcPr>
          <w:p>
            <w:pPr>
              <w:pStyle w:val="Compact"/>
              <w:jc w:val="left"/>
            </w:pPr>
            <w:r>
              <w:rPr>
                <w:b/>
              </w:rPr>
              <w:t xml:space="preserve">Hvad jeg ville have brug for at lære for at holde mig ajour</w:t>
            </w:r>
          </w:p>
        </w:tc>
      </w:tr>
      <w:tr>
        <w:tc>
          <w:p>
            <w:pPr>
              <w:pStyle w:val="Compact"/>
              <w:jc w:val="left"/>
            </w:pPr>
            <w:r>
              <w:rPr>
                <w:b/>
              </w:rPr>
              <w:t xml:space="preserve">Kernefagligt indhold, jeg i øjeblikket underviser i</w:t>
            </w:r>
          </w:p>
        </w:tc>
        <w:tc>
          <w:p/>
        </w:tc>
        <w:tc>
          <w:p/>
        </w:tc>
      </w:tr>
      <w:tr>
        <w:tc>
          <w:p>
            <w:pPr>
              <w:pStyle w:val="Compact"/>
              <w:jc w:val="left"/>
            </w:pPr>
            <w:r>
              <w:rPr>
                <w:b/>
              </w:rPr>
              <w:t xml:space="preserve">Faglige redskaber og arbejdsgange i mit felt</w:t>
            </w:r>
          </w:p>
        </w:tc>
        <w:tc>
          <w:p/>
        </w:tc>
        <w:tc>
          <w:p/>
        </w:tc>
      </w:tr>
      <w:tr>
        <w:tc>
          <w:p>
            <w:pPr>
              <w:pStyle w:val="Compact"/>
              <w:jc w:val="left"/>
            </w:pPr>
            <w:r>
              <w:rPr>
                <w:b/>
              </w:rPr>
              <w:t xml:space="preserve">Pædagogiske metoder og bedømmelsespraksiser</w:t>
            </w:r>
          </w:p>
        </w:tc>
        <w:tc>
          <w:p/>
        </w:tc>
        <w:tc>
          <w:p/>
        </w:tc>
      </w:tr>
    </w:tbl>
    <w:p>
      <w:pPr>
        <w:pStyle w:val="BodyText"/>
      </w:pPr>
      <w:r>
        <w:rPr>
          <w:i/>
          <w:b/>
        </w:rPr>
        <w:t xml:space="preserve">Den ene ting, jeg er mest modstræbende over for at lære, og min ærlige vurdering af hvorfor:</w:t>
      </w:r>
    </w:p>
    <w:tbl>
      <w:tblPr>
        <w:tblStyle w:val="Table"/>
        <w:tblW w:type="pct" w:w="0.0"/>
        <w:tblLook w:firstRow="0"/>
      </w:tblPr>
      <w:tblGrid/>
      <w:tr>
        <w:tc>
          <w:p/>
        </w:tc>
      </w:tr>
      <w:tr>
        <w:tc>
          <w:p/>
        </w:tc>
      </w:tr>
      <w:tr>
        <w:tc>
          <w:p/>
        </w:tc>
      </w:tr>
      <w:tr>
        <w:tc>
          <w:p/>
        </w:tc>
      </w:tr>
      <w:tr>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4%3A%20The%20Intelligent%20Simpleton.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4%3A%20The%20Intelligent%20Simplet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4 — Udløbsdato-stresstesten</dc:title>
  <dc:creator/>
  <cp:keywords/>
  <dcterms:created xsi:type="dcterms:W3CDTF">2026-06-15T00:45:32Z</dcterms:created>
  <dcterms:modified xsi:type="dcterms:W3CDTF">2026-06-15T00:45:32Z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4: The Intelligent Simpleton · Sektion A: Egofælden og den professionelle identitet</vt:lpwstr>
  </property>
</Properties>
</file>