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14</w:t>
      </w:r>
      <w:r>
        <w:t xml:space="preserve"> </w:t>
      </w:r>
      <w:r>
        <w:t xml:space="preserve">—</w:t>
      </w:r>
      <w:r>
        <w:t xml:space="preserve"> </w:t>
      </w:r>
      <w:r>
        <w:t xml:space="preserve">Stilladsering</w:t>
      </w:r>
      <w:r>
        <w:t xml:space="preserve"> </w:t>
      </w:r>
      <w:r>
        <w:t xml:space="preserve">vs. at</w:t>
      </w:r>
      <w:r>
        <w:t xml:space="preserve"> </w:t>
      </w:r>
      <w:r>
        <w:t xml:space="preserve">tygge</w:t>
      </w:r>
      <w:r>
        <w:t xml:space="preserve"> </w:t>
      </w:r>
      <w:r>
        <w:t xml:space="preserve">maden</w:t>
      </w:r>
      <w:r>
        <w:t xml:space="preserve"> </w:t>
      </w:r>
      <w:r>
        <w:t xml:space="preserve">for</w:t>
      </w:r>
      <w:r>
        <w:t xml:space="preserve"> </w:t>
      </w:r>
      <w:r>
        <w:t xml:space="preserve">dem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Den</w:t>
      </w:r>
      <w:r>
        <w:t xml:space="preserve"> </w:t>
      </w:r>
      <w:r>
        <w:t xml:space="preserve">pædagogiske</w:t>
      </w:r>
      <w:r>
        <w:t xml:space="preserve"> </w:t>
      </w:r>
      <w:r>
        <w:t xml:space="preserve">parallel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At tygge maden for dem fjerner kampen: at give svaret, fuldføre ræsonnementet, eliminere udfordringen.</w:t>
      </w:r>
      <w:r>
        <w:t xml:space="preserve"> </w:t>
      </w:r>
      <w:r>
        <w:rPr>
          <w:b/>
        </w:rPr>
        <w:t xml:space="preserve">Stilladsering</w:t>
      </w:r>
      <w:r>
        <w:t xml:space="preserve"> </w:t>
      </w:r>
      <w:r>
        <w:t xml:space="preserve">bevarer kampen, mens det fjerner uproduktiv forvirring: at give eksempler (One-Shot), afsløre mønster (Few-Shot) eller gøre ræsonnement synligt (Chain of Thought). Den studerende udfører stadig det hårde kognitive arbejde — de ved blot, hvad det skal se ud som, inden de begynder.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én opgave, du i øjeblikket leverer med minimal stilladsering.</w:t>
      </w:r>
    </w:p>
    <w:p>
      <w:pPr>
        <w:numPr>
          <w:ilvl w:val="0"/>
          <w:numId w:val="1001"/>
        </w:numPr>
        <w:pStyle w:val="Compact"/>
      </w:pPr>
      <w:r>
        <w:t xml:space="preserve">☐ Opret en Før/Efter-sammenligning: vis de originale instruktioner (Zero-Shot), redesign dem med mindst to gear.</w:t>
      </w:r>
    </w:p>
    <w:p>
      <w:pPr>
        <w:numPr>
          <w:ilvl w:val="0"/>
          <w:numId w:val="1001"/>
        </w:numPr>
        <w:pStyle w:val="Compact"/>
      </w:pPr>
      <w:r>
        <w:t xml:space="preserve">☐ Sørg for, at den redesignede version bevarer den centrale intellektuelle kamp.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FØR (Zero-Shot)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EFTER (Gearet stilladsering)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i/>
              </w:rPr>
              <w:t xml:space="preserve">Originale instruktioner: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Redesignet med Gear(s):</w:t>
            </w:r>
          </w:p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Hvilken kognitiv kamp bevarer den redesignede version? Hvad fjerner den, og er det acceptabelt?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14 — Stilladsering vs. at tygge maden for dem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C: Den pædagogiske parallel</vt:lpwstr>
  </property>
</Properties>
</file>