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Aktivitet</w:t>
      </w:r>
      <w:r>
        <w:t xml:space="preserve"> </w:t>
      </w:r>
      <w:r>
        <w:t xml:space="preserve">12</w:t>
      </w:r>
      <w:r>
        <w:t xml:space="preserve"> </w:t>
      </w:r>
      <w:r>
        <w:t xml:space="preserve">—</w:t>
      </w:r>
      <w:r>
        <w:t xml:space="preserve"> </w:t>
      </w:r>
      <w:r>
        <w:t xml:space="preserve">At</w:t>
      </w:r>
      <w:r>
        <w:t xml:space="preserve"> </w:t>
      </w:r>
      <w:r>
        <w:t xml:space="preserve">identificere</w:t>
      </w:r>
      <w:r>
        <w:t xml:space="preserve"> </w:t>
      </w:r>
      <w:r>
        <w:t xml:space="preserve">zero-shot-undervisningsfælden</w:t>
      </w:r>
    </w:p>
    <w:p>
      <w:pPr>
        <w:pStyle w:val="Subtitle"/>
      </w:pPr>
      <w:r>
        <w:t xml:space="preserve">Kapitel</w:t>
      </w:r>
      <w:r>
        <w:t xml:space="preserve"> </w:t>
      </w:r>
      <w:r>
        <w:t xml:space="preserve">2:</w:t>
      </w:r>
      <w:r>
        <w:t xml:space="preserve"> </w:t>
      </w:r>
      <w:r>
        <w:t xml:space="preserve">The</w:t>
      </w:r>
      <w:r>
        <w:t xml:space="preserve"> </w:t>
      </w:r>
      <w:r>
        <w:t xml:space="preserve">Intelligent</w:t>
      </w:r>
      <w:r>
        <w:t xml:space="preserve"> </w:t>
      </w:r>
      <w:r>
        <w:t xml:space="preserve">Gearbox</w:t>
      </w:r>
      <w:r>
        <w:t xml:space="preserve"> </w:t>
      </w:r>
      <w:r>
        <w:t xml:space="preserve">·</w:t>
      </w:r>
      <w:r>
        <w:t xml:space="preserve"> </w:t>
      </w:r>
      <w:r>
        <w:t xml:space="preserve">Sektion</w:t>
      </w:r>
      <w:r>
        <w:t xml:space="preserve"> </w:t>
      </w:r>
      <w:r>
        <w:t xml:space="preserve">C:</w:t>
      </w:r>
      <w:r>
        <w:t xml:space="preserve"> </w:t>
      </w:r>
      <w:r>
        <w:t xml:space="preserve">Den</w:t>
      </w:r>
      <w:r>
        <w:t xml:space="preserve"> </w:t>
      </w:r>
      <w:r>
        <w:t xml:space="preserve">pædagogiske</w:t>
      </w:r>
      <w:r>
        <w:t xml:space="preserve"> </w:t>
      </w:r>
      <w:r>
        <w:t xml:space="preserve">parallel</w:t>
      </w:r>
    </w:p>
    <w:p>
      <w:pPr>
        <w:pStyle w:val="BlockText"/>
      </w:pPr>
      <w:r>
        <w:t xml:space="preserve">Copyright © 2026 Szymon Machajewski · CC BY 4.0</w:t>
      </w:r>
    </w:p>
    <w:p>
      <w:r>
        <w:pict>
          <v:rect style="width:0;height:1.5pt" o:hralign="center" o:hrstd="t" o:hr="t"/>
        </w:pict>
      </w:r>
    </w:p>
    <w:p>
      <w:pPr>
        <w:pStyle w:val="FirstParagraph"/>
      </w:pPr>
      <w:r>
        <w:rPr>
          <w:b/>
        </w:rPr>
        <w:t xml:space="preserve">Navn:</w:t>
      </w:r>
      <w:r>
        <w:t xml:space="preserve"> </w:t>
      </w:r>
      <w:r>
        <w:rPr>
          <w:b/>
        </w:rPr>
        <w:t xml:space="preserve">________</w:t>
      </w:r>
      <w:r>
        <w:t xml:space="preserve"> </w:t>
      </w:r>
      <w:r>
        <w:rPr>
          <w:b/>
        </w:rPr>
        <w:t xml:space="preserve">Dato:</w:t>
      </w:r>
      <w:r>
        <w:t xml:space="preserve"> </w:t>
      </w:r>
      <w:r>
        <w:rPr>
          <w:b/>
        </w:rPr>
        <w:t xml:space="preserve">____</w:t>
      </w:r>
      <w:r>
        <w:br/>
      </w:r>
      <w:r>
        <w:rPr>
          <w:b/>
        </w:rPr>
        <w:t xml:space="preserve">Kursus / Program:</w:t>
      </w:r>
      <w:r>
        <w:t xml:space="preserve"> </w:t>
      </w:r>
      <w:r>
        <w:rPr>
          <w:b/>
        </w:rPr>
        <w:t xml:space="preserve">________</w:t>
      </w:r>
      <w:r>
        <w:t xml:space="preserve"> </w:t>
      </w:r>
      <w:r>
        <w:rPr>
          <w:b/>
        </w:rPr>
        <w:t xml:space="preserve">Institution:</w:t>
      </w:r>
      <w:r>
        <w:t xml:space="preserve"> </w:t>
      </w:r>
      <w:r>
        <w:rPr>
          <w:b/>
        </w:rPr>
        <w:t xml:space="preserve">________</w:t>
      </w:r>
    </w:p>
    <w:p>
      <w:r>
        <w:pict>
          <v:rect style="width:0;height:1.5pt" o:hralign="center" o:hrstd="t" o:hr="t"/>
        </w:pict>
      </w:r>
    </w:p>
    <w:p>
      <w:pPr>
        <w:pStyle w:val="Heading2"/>
      </w:pPr>
      <w:bookmarkStart w:id="20" w:name="begreb"/>
      <w:r>
        <w:t xml:space="preserve">📍 Begreb</w:t>
      </w:r>
      <w:bookmarkEnd w:id="20"/>
    </w:p>
    <w:p>
      <w:pPr>
        <w:pStyle w:val="FirstParagraph"/>
      </w:pPr>
      <w:r>
        <w:t xml:space="preserve">Zero-shot-undervisning fejler af samme grund som zero-shot-</w:t>
      </w:r>
      <w:r>
        <w:rPr>
          <w:b/>
        </w:rPr>
        <w:t xml:space="preserve">promptning</w:t>
      </w:r>
      <w:r>
        <w:t xml:space="preserve">: den intelligens, der udfører arbejdet, kan ikke læse dit sind. Studerende udfylder hullerne med generiske mønstre fra gymnasiet eller populærmedier, der ikke matcher dine faglige forventninger. Frustrationen ved at læse studerendes arbejde —</w:t>
      </w:r>
      <w:r>
        <w:t xml:space="preserve"> </w:t>
      </w:r>
      <w:r>
        <w:t xml:space="preserve">“</w:t>
      </w:r>
      <w:r>
        <w:t xml:space="preserve">Det er ikke, hvad jeg bad om!</w:t>
      </w:r>
      <w:r>
        <w:t xml:space="preserve">”</w:t>
      </w:r>
      <w:r>
        <w:t xml:space="preserve"> </w:t>
      </w:r>
      <w:r>
        <w:t xml:space="preserve">— spejler frustrationen novice AI-brugere føler. I begge tilfælde er problemet næsten aldrig intelligens. Det er kvaliteten af instruktionen.</w:t>
      </w:r>
    </w:p>
    <w:p>
      <w:r>
        <w:pict>
          <v:rect style="width:0;height:1.5pt" o:hralign="center" o:hrstd="t" o:hr="t"/>
        </w:pict>
      </w:r>
    </w:p>
    <w:p>
      <w:pPr>
        <w:pStyle w:val="Heading2"/>
      </w:pPr>
      <w:bookmarkStart w:id="21" w:name="opgave"/>
      <w:r>
        <w:t xml:space="preserve">▶ Opgave</w:t>
      </w:r>
      <w:bookmarkEnd w:id="21"/>
    </w:p>
    <w:p>
      <w:pPr>
        <w:numPr>
          <w:ilvl w:val="0"/>
          <w:numId w:val="1001"/>
        </w:numPr>
        <w:pStyle w:val="Compact"/>
      </w:pPr>
      <w:r>
        <w:t xml:space="preserve">☐ Foretag en diagnostisk gennemgang af din mest</w:t>
      </w:r>
      <w:r>
        <w:t xml:space="preserve"> </w:t>
      </w:r>
      <w:r>
        <w:t xml:space="preserve">“</w:t>
      </w:r>
      <w:r>
        <w:t xml:space="preserve">frustrerende</w:t>
      </w:r>
      <w:r>
        <w:t xml:space="preserve">”</w:t>
      </w:r>
      <w:r>
        <w:t xml:space="preserve"> </w:t>
      </w:r>
      <w:r>
        <w:t xml:space="preserve">opgave — den, hvor studerendes afleveringer konsekvent skuffer mest.</w:t>
      </w:r>
    </w:p>
    <w:p>
      <w:pPr>
        <w:numPr>
          <w:ilvl w:val="0"/>
          <w:numId w:val="1001"/>
        </w:numPr>
        <w:pStyle w:val="Compact"/>
      </w:pPr>
      <w:r>
        <w:t xml:space="preserve">☐ Identificér tre specifikke huller, hvor studerende tvinges til at gætte din hensigt.</w:t>
      </w:r>
    </w:p>
    <w:p>
      <w:pPr>
        <w:numPr>
          <w:ilvl w:val="0"/>
          <w:numId w:val="1001"/>
        </w:numPr>
        <w:pStyle w:val="Compact"/>
      </w:pPr>
      <w:r>
        <w:t xml:space="preserve">☐ Beslut for hvert hul, hvilket gear du vil bruge til at lukke det.</w:t>
      </w:r>
    </w:p>
    <w:p>
      <w:r>
        <w:pict>
          <v:rect style="width:0;height:1.5pt" o:hralign="center" o:hrstd="t" o:hr="t"/>
        </w:pict>
      </w:r>
    </w:p>
    <w:p>
      <w:pPr>
        <w:pStyle w:val="Heading2"/>
      </w:pPr>
      <w:bookmarkStart w:id="22" w:name="svarfelt"/>
      <w:r>
        <w:t xml:space="preserve">✏️ Svarfelt</w:t>
      </w:r>
      <w:bookmarkEnd w:id="22"/>
    </w:p>
    <w:p>
      <w:pPr>
        <w:pStyle w:val="FirstParagraph"/>
      </w:pPr>
      <w:r>
        <w:rPr>
          <w:i/>
          <w:b/>
        </w:rPr>
        <w:t xml:space="preserve">Den opgave, jeg gennemgår (kort beskrivelse):</w:t>
      </w:r>
    </w:p>
    <w:tbl>
      <w:tblPr>
        <w:tblStyle w:val="Table"/>
        <w:tblW w:type="pct" w:w="0.0"/>
        <w:tblLook w:firstRow="0"/>
      </w:tblPr>
      <w:tblGrid/>
      <w:tr>
        <w:tc>
          <w:p/>
        </w:tc>
      </w:tr>
      <w:tr>
        <w:tc>
          <w:p/>
        </w:tc>
      </w:tr>
    </w:tbl>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rPr>
                <w:b/>
              </w:rPr>
              <w:t xml:space="preserve">Hul: Hvad studerende i øjeblikket skal gætte</w:t>
            </w:r>
          </w:p>
        </w:tc>
        <w:tc>
          <w:tcPr>
            <w:tcBorders>
              <w:bottom w:val="single"/>
            </w:tcBorders>
            <w:vAlign w:val="bottom"/>
          </w:tcPr>
          <w:p>
            <w:pPr>
              <w:pStyle w:val="Compact"/>
              <w:jc w:val="left"/>
            </w:pPr>
            <w:r>
              <w:rPr>
                <w:b/>
              </w:rPr>
              <w:t xml:space="preserve">Hvorfor dette hul eksisterer (tavs viden?)</w:t>
            </w:r>
          </w:p>
        </w:tc>
        <w:tc>
          <w:tcPr>
            <w:tcBorders>
              <w:bottom w:val="single"/>
            </w:tcBorders>
            <w:vAlign w:val="bottom"/>
          </w:tcPr>
          <w:p>
            <w:pPr>
              <w:pStyle w:val="Compact"/>
              <w:jc w:val="left"/>
            </w:pPr>
            <w:r>
              <w:rPr>
                <w:b/>
              </w:rPr>
              <w:t xml:space="preserve">Gear til at lukke det</w:t>
            </w:r>
          </w:p>
        </w:tc>
        <w:tc>
          <w:tcPr>
            <w:tcBorders>
              <w:bottom w:val="single"/>
            </w:tcBorders>
            <w:vAlign w:val="bottom"/>
          </w:tcPr>
          <w:p>
            <w:pPr>
              <w:pStyle w:val="Compact"/>
              <w:jc w:val="left"/>
            </w:pPr>
            <w:r>
              <w:rPr>
                <w:b/>
              </w:rPr>
              <w:t xml:space="preserve">Specifik tilføjelse nødvendig</w:t>
            </w:r>
          </w:p>
        </w:tc>
      </w:tr>
      <w:tr>
        <w:tc>
          <w:p/>
        </w:tc>
        <w:tc>
          <w:p/>
        </w:tc>
        <w:tc>
          <w:p/>
        </w:tc>
        <w:tc>
          <w:p/>
        </w:tc>
      </w:tr>
      <w:tr>
        <w:tc>
          <w:p/>
        </w:tc>
        <w:tc>
          <w:p/>
        </w:tc>
        <w:tc>
          <w:p/>
        </w:tc>
        <w:tc>
          <w:p/>
        </w:tc>
      </w:tr>
      <w:tr>
        <w:tc>
          <w:p/>
        </w:tc>
        <w:tc>
          <w:p/>
        </w:tc>
        <w:tc>
          <w:p/>
        </w:tc>
        <w:tc>
          <w:p/>
        </w:tc>
      </w:tr>
    </w:tbl>
    <w:p>
      <w:pPr>
        <w:pStyle w:val="BodyText"/>
      </w:pPr>
      <w:r>
        <w:rPr>
          <w:i/>
          <w:b/>
        </w:rPr>
        <w:t xml:space="preserve">Hvordan ville en studerende, der løste denne opgave godt men af de forkerte årsager, se ud? Hvordan ville jeg kende forskel?</w:t>
      </w:r>
    </w:p>
    <w:tbl>
      <w:tblPr>
        <w:tblStyle w:val="Table"/>
        <w:tblW w:type="pct" w:w="0.0"/>
        <w:tblLook w:firstRow="0"/>
      </w:tblPr>
      <w:tblGrid/>
      <w:tr>
        <w:tc>
          <w:p/>
        </w:tc>
      </w:tr>
      <w:tr>
        <w:tc>
          <w:p/>
        </w:tc>
      </w:tr>
      <w:tr>
        <w:tc>
          <w:p/>
        </w:tc>
      </w:tr>
      <w:tr>
        <w:tc>
          <w:p/>
        </w:tc>
      </w:tr>
    </w:tbl>
    <w:p>
      <w:r>
        <w:pict>
          <v:rect style="width:0;height:1.5pt" o:hralign="center" o:hrstd="t" o:hr="t"/>
        </w:pict>
      </w:r>
    </w:p>
    <w:p>
      <w:pPr>
        <w:pStyle w:val="FirstParagraph"/>
      </w:pPr>
      <w:r>
        <w:t xml:space="preserve">←</w:t>
      </w:r>
      <w:r>
        <w:t xml:space="preserve"> </w:t>
      </w:r>
      <w:hyperlink r:id="rId23">
        <w:r>
          <w:rPr>
            <w:rStyle w:val="Hyperlink"/>
          </w:rPr>
          <w:t xml:space="preserve">Tilbage til hub</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Arbejdsark%20kap.%202%3A%20The%20Intelligent%20Gearbox.md" TargetMode="External" /></Relationships>
</file>

<file path=word/_rels/footnotes.xml.rels><?xml version="1.0" encoding="UTF-8"?>
<Relationships xmlns="http://schemas.openxmlformats.org/package/2006/relationships"><Relationship Type="http://schemas.openxmlformats.org/officeDocument/2006/relationships/hyperlink" Id="rId23" Target="../Arbejdsark%20kap.%202%3A%20The%20Intelligent%20Gearbox.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Aktivitet 12 — At identificere zero-shot-undervisningsfælden</dc:title>
  <dc:creator/>
  <cp:keywords/>
  <dcterms:created xsi:type="dcterms:W3CDTF">2026-06-15T00:45:31Z</dcterms:created>
  <dcterms:modified xsi:type="dcterms:W3CDTF">2026-06-15T00:45:31Z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Kapitel 2: The Intelligent Gearbox · Sektion C: Den pædagogiske parallel</vt:lpwstr>
  </property>
</Properties>
</file>