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03</w:t>
      </w:r>
      <w:r>
        <w:t xml:space="preserve"> </w:t>
      </w:r>
      <w:r>
        <w:t xml:space="preserve">—</w:t>
      </w:r>
      <w:r>
        <w:t xml:space="preserve"> </w:t>
      </w:r>
      <w:r>
        <w:t xml:space="preserve">Tidsregnskabet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Indledende</w:t>
      </w:r>
      <w:r>
        <w:t xml:space="preserve"> </w:t>
      </w:r>
      <w:r>
        <w:t xml:space="preserve">øvelser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Rammer er mere overbevisende, når de er forankret i personlig evidens. Inden du accepterer eller afviser Cognitive Triage-rammen, så mål den mod din faktiske arbejdsuge. Hvor meget af din tid flyder i øjeblikket til FLUFF vs. SPARK? Tallene overrasker ofte selv skeptikere — i begge retninger.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Registrér din faglige tid i to kolonner i løbet af den kommende uge ved hjælp af loggen nedenfor.</w:t>
      </w:r>
    </w:p>
    <w:p>
      <w:pPr>
        <w:numPr>
          <w:ilvl w:val="0"/>
          <w:numId w:val="1001"/>
        </w:numPr>
        <w:pStyle w:val="Compact"/>
      </w:pPr>
      <w:r>
        <w:t xml:space="preserve">☐ Estimér ved ugens afslutning procentdelen af tid i hver kategori. Besvar derefter refleksionsspørgsmålet.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Dag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FLUFF-tid (opgaver med begrænset udbytte)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SPARK-tid (højeffektivt arbejde, ubegrænset udbytte)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Mandag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Tirsdag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Onsdag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Torsdag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Fredag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_Estimeret fordeling: _% FLUFF / _% SPARK_</w:t>
      </w:r>
    </w:p>
    <w:p>
      <w:pPr>
        <w:pStyle w:val="BodyText"/>
      </w:pPr>
      <w:r>
        <w:rPr>
          <w:i/>
          <w:b/>
        </w:rPr>
        <w:t xml:space="preserve">Hvis du genvandt 20 % mere tid til SPARK, hvad ville du bruge den på? Vær specifik.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03 — Tidsregnskabet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A: Indledende øvelser</vt:lpwstr>
  </property>
</Properties>
</file>